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BE54B6" w14:paraId="4F9450A3" w14:textId="52754639">
            <w:r w:rsidRPr="00BE54B6">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1A098D"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1A098D" w:rsidR="00093CA9" w:rsidP="00313CDB" w:rsidRDefault="009865CB" w14:paraId="313A697B" w14:textId="48E3DE02">
            <w:pPr>
              <w:rPr>
                <w:lang w:val="en-US"/>
              </w:rPr>
            </w:pPr>
            <w:r w:rsidRPr="009865CB">
              <w:t>Law 1901 of 2018</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2D4FFE" w14:paraId="1523C232" w14:textId="67C8E862">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9865CB" w14:paraId="4E49657F" w14:textId="56523F6F">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2C586203"/>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4CB5004E"/>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0AD29506"/>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Pr="00357290" w:rsidR="00357290" w:rsidP="00357290" w:rsidRDefault="00357290" w14:paraId="03912840" w14:textId="08381745">
            <w:pPr>
              <w:spacing w:after="0" w:line="276" w:lineRule="auto"/>
              <w:jc w:val="both"/>
              <w:textAlignment w:val="baseline"/>
              <w:rPr>
                <w:rFonts w:eastAsia="Times New Roman"/>
                <w:lang w:eastAsia="en-GB"/>
              </w:rPr>
            </w:pPr>
            <w:r w:rsidRPr="00357290">
              <w:rPr>
                <w:rFonts w:eastAsia="Times New Roman"/>
                <w:lang w:eastAsia="en-GB"/>
              </w:rPr>
              <w:t>To adopt the status of Benefit and Collective Interest Company (BIC).</w:t>
            </w:r>
          </w:p>
          <w:p w:rsidRPr="00357290" w:rsidR="00093CA9" w:rsidP="00357290" w:rsidRDefault="00357290" w14:paraId="18257824" w14:textId="72C1CDED">
            <w:r w:rsidRPr="00357290">
              <w:rPr>
                <w:rFonts w:eastAsia="Times New Roman"/>
                <w:lang w:eastAsia="en-GB"/>
              </w:rPr>
              <w:t>BIC companies should prepare management reports that highlight their social and environmental impact, as well as their compliance with established ESG objectives. These reports must follow recognized independent standards, such as those of B Corporation, GRI, ISO 26000, SDG Compass, and AA1000, and must be presented to the board and made available to the public.</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2D4FFE" w14:paraId="54354EEF" w14:textId="2187DDE2">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2D4FFE" w14:paraId="22A2FF1A" w14:textId="70694A13">
            <w:pPr>
              <w:rPr>
                <w:color w:val="000000" w:themeColor="text1"/>
              </w:rPr>
            </w:pPr>
            <w:r>
              <w:rPr>
                <w:color w:val="000000" w:themeColor="text1"/>
              </w:rPr>
              <w:t>2018</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2D4FFE" w14:paraId="5AD2325B" w14:textId="1F5F83BB">
            <w:pPr>
              <w:rPr>
                <w:color w:val="000000" w:themeColor="text1"/>
              </w:rPr>
            </w:pPr>
            <w:r>
              <w:rPr>
                <w:color w:val="000000" w:themeColor="text1"/>
              </w:rPr>
              <w:t>2018</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lastRenderedPageBreak/>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2D4FFE" w14:paraId="7961F236" w14:textId="6D576363">
            <w:r>
              <w:t>Legislature (Congress of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6E5A0E" w14:paraId="58D97C26" w14:textId="65863CA0">
            <w:proofErr w:type="spellStart"/>
            <w:r w:rsidRPr="006E5A0E">
              <w:t>Superintendencia</w:t>
            </w:r>
            <w:proofErr w:type="spellEnd"/>
            <w:r w:rsidRPr="006E5A0E">
              <w:t xml:space="preserve"> de </w:t>
            </w:r>
            <w:proofErr w:type="spellStart"/>
            <w:r w:rsidRPr="006E5A0E">
              <w:t>Sociedades</w:t>
            </w:r>
            <w:proofErr w:type="spellEnd"/>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6E5A0E" w14:paraId="6DCCE4F4" w14:textId="69D0A223">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lastRenderedPageBreak/>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20D4C" w14:paraId="42D06D03" w14:textId="47949527">
            <w:r w:rsidRPr="00020D4C">
              <w:t xml:space="preserve">The </w:t>
            </w:r>
            <w:proofErr w:type="spellStart"/>
            <w:r w:rsidRPr="00020D4C">
              <w:t>Superintendencia</w:t>
            </w:r>
            <w:proofErr w:type="spellEnd"/>
            <w:r w:rsidRPr="00020D4C">
              <w:t xml:space="preserve"> de </w:t>
            </w:r>
            <w:proofErr w:type="spellStart"/>
            <w:r w:rsidRPr="00020D4C">
              <w:t>Sociedades</w:t>
            </w:r>
            <w:proofErr w:type="spellEnd"/>
            <w:r w:rsidRPr="00020D4C">
              <w:t xml:space="preserve"> maintains a public list of independent standards and can declare loss of BIC status for non-compliance.</w:t>
            </w:r>
          </w:p>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020D4C" w14:paraId="54F7EBC8" w14:textId="2A2ADA34">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2B0D47" w14:paraId="2C2128DB" w14:textId="68D4DE03">
            <w:pPr>
              <w:keepNext/>
              <w:rPr>
                <w:color w:val="000000" w:themeColor="text1"/>
              </w:rPr>
            </w:pPr>
            <w:r w:rsidRPr="002B0D47">
              <w:rPr>
                <w:color w:val="000000" w:themeColor="text1"/>
              </w:rPr>
              <w:t>BIC companies must annually publish a management report on their social and environmental impact, using an independent standard.</w:t>
            </w:r>
            <w:r w:rsidR="009B04E8">
              <w:rPr>
                <w:color w:val="000000" w:themeColor="text1"/>
              </w:rPr>
              <w:t xml:space="preserve"> </w:t>
            </w:r>
            <w:r w:rsidRPr="002B0D47">
              <w:rPr>
                <w:color w:val="000000" w:themeColor="text1"/>
              </w:rPr>
              <w:t xml:space="preserve">The report must be available on the company website or at its </w:t>
            </w:r>
            <w:proofErr w:type="spellStart"/>
            <w:r w:rsidRPr="002B0D47">
              <w:rPr>
                <w:color w:val="000000" w:themeColor="text1"/>
              </w:rPr>
              <w:t>domicile.The</w:t>
            </w:r>
            <w:proofErr w:type="spellEnd"/>
            <w:r w:rsidRPr="002B0D47">
              <w:rPr>
                <w:color w:val="000000" w:themeColor="text1"/>
              </w:rPr>
              <w:t xml:space="preserve"> </w:t>
            </w:r>
            <w:proofErr w:type="spellStart"/>
            <w:r w:rsidRPr="002B0D47">
              <w:rPr>
                <w:color w:val="000000" w:themeColor="text1"/>
              </w:rPr>
              <w:t>Superintendencia</w:t>
            </w:r>
            <w:proofErr w:type="spellEnd"/>
            <w:r w:rsidRPr="002B0D47">
              <w:rPr>
                <w:color w:val="000000" w:themeColor="text1"/>
              </w:rPr>
              <w:t xml:space="preserve"> de </w:t>
            </w:r>
            <w:proofErr w:type="spellStart"/>
            <w:r w:rsidRPr="002B0D47">
              <w:rPr>
                <w:color w:val="000000" w:themeColor="text1"/>
              </w:rPr>
              <w:t>Sociedades</w:t>
            </w:r>
            <w:proofErr w:type="spellEnd"/>
            <w:r w:rsidRPr="002B0D47">
              <w:rPr>
                <w:color w:val="000000" w:themeColor="text1"/>
              </w:rPr>
              <w:t xml:space="preserve"> can audit compliance and respond to complaints.</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9B04E8" w14:paraId="13B916E8" w14:textId="4955F6C0">
            <w:r>
              <w:t>X</w:t>
            </w:r>
          </w:p>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9B04E8" w14:paraId="04ABBC33" w14:textId="01E7FF8B">
            <w:r>
              <w:t>X</w:t>
            </w:r>
          </w:p>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9B04E8" w14:paraId="568957B7" w14:textId="3C43182A">
            <w:r>
              <w:t>X</w:t>
            </w:r>
          </w:p>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9B04E8" w14:paraId="4B303F1A" w14:textId="7502E497">
            <w:r>
              <w:t>X</w:t>
            </w:r>
          </w:p>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9B04E8" w14:paraId="7467E63D" w14:textId="0B0863D4">
            <w:r>
              <w:t>X</w:t>
            </w:r>
          </w:p>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9B04E8" w14:paraId="5D69C390" w14:textId="5BEA6FF1">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9B04E8" w14:paraId="6E3BF266" w14:textId="4BD545AB">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009B04E8" w14:paraId="78F26697" w14:textId="4FDE9826">
            <w:r>
              <w:t>X</w:t>
            </w:r>
          </w:p>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009B04E8" w14:paraId="7A06765B" w14:textId="297FBA48">
            <w:r>
              <w:t>X</w:t>
            </w:r>
          </w:p>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009B04E8" w14:paraId="5E930EB6" w14:textId="241A12C8">
            <w:r>
              <w:t>X</w:t>
            </w:r>
          </w:p>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009B04E8" w14:paraId="1A2F5FE9" w14:textId="174F4618">
            <w:r>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EB148E" w14:paraId="65791BCC" w14:textId="35FA7679">
            <w:r>
              <w:t>X</w:t>
            </w:r>
          </w:p>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EB148E" w14:paraId="592977B8" w14:textId="649FD4A0">
            <w:r>
              <w:t>X</w:t>
            </w:r>
          </w:p>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EB148E" w14:paraId="1A714ED2" w14:textId="5F063E98">
            <w:r w:rsidRPr="00EB148E">
              <w:t>Any commercial company in Colombia can voluntarily adopt BIC status, regardless of size, sector, or ownership structure.</w:t>
            </w:r>
          </w:p>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6467C5" w14:paraId="53C4E801" w14:textId="67E5F15E">
            <w:r w:rsidRPr="006467C5">
              <w:t>Yes, must be a Colombian company</w:t>
            </w:r>
          </w:p>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6467C5" w14:paraId="52C1CE50" w14:textId="7D4FC30E">
            <w:r w:rsidRPr="006467C5">
              <w:t>Voluntary adoption of BIC status</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C828E4" w14:paraId="1D0EF3A6" w14:textId="75315D6B">
            <w:r>
              <w:t>X</w:t>
            </w:r>
          </w:p>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C828E4" w14:paraId="30BAB92A" w14:textId="5AF3E82F">
            <w:r>
              <w:t>B</w:t>
            </w:r>
            <w:r w:rsidRPr="00C828E4">
              <w:t>y not adopting BIC status or by statutory reform to cease being BIC</w:t>
            </w:r>
            <w:r>
              <w:t>.</w:t>
            </w:r>
          </w:p>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C828E4" w14:paraId="14407D2B" w14:textId="5A1F2A24">
            <w:r>
              <w:t>X</w:t>
            </w:r>
          </w:p>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C2678F" w14:paraId="6475235A" w14:textId="0125FFA8">
            <w:r w:rsidRPr="00C2678F">
              <w:t xml:space="preserve">The </w:t>
            </w:r>
            <w:proofErr w:type="spellStart"/>
            <w:r w:rsidRPr="00C2678F">
              <w:t>Superintendencia</w:t>
            </w:r>
            <w:proofErr w:type="spellEnd"/>
            <w:r w:rsidRPr="00C2678F">
              <w:t xml:space="preserve"> de </w:t>
            </w:r>
            <w:proofErr w:type="spellStart"/>
            <w:r w:rsidRPr="00C2678F">
              <w:t>Sociedades</w:t>
            </w:r>
            <w:proofErr w:type="spellEnd"/>
            <w:r w:rsidRPr="00C2678F">
              <w:t xml:space="preserve"> may declare the loss of BIC status for grave and repeated non-compliance with independent standards, after due process.</w:t>
            </w:r>
          </w:p>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2678F" w14:paraId="6DC43515" w14:textId="29CD8AA0">
            <w:pPr>
              <w:spacing w:line="276" w:lineRule="auto"/>
              <w:rPr>
                <w:color w:val="000000" w:themeColor="text1"/>
              </w:rPr>
            </w:pPr>
            <w:r>
              <w:rPr>
                <w:color w:val="000000" w:themeColor="text1"/>
              </w:rPr>
              <w:t>X</w:t>
            </w: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C2678F" w14:paraId="6D63DD00" w14:textId="4D4BF79D">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C62D09" w14:paraId="0D7B8554" w14:textId="5B35050E">
            <w:r>
              <w:t>X</w:t>
            </w:r>
          </w:p>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C62D09" w14:paraId="6E6F3A6D" w14:textId="1C0FCA5F">
            <w:r>
              <w:t>X</w:t>
            </w:r>
          </w:p>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C62D09" w14:paraId="1D255A36" w14:textId="678728AA">
            <w:r>
              <w:t>X</w:t>
            </w:r>
          </w:p>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C62D09" w14:paraId="02561B88" w14:textId="472FF7EB">
            <w:r>
              <w:t>X</w:t>
            </w:r>
          </w:p>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C62D09" w14:paraId="64DEAA9D" w14:textId="1646DD5F">
            <w:r>
              <w:t>X</w:t>
            </w:r>
          </w:p>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C62D09" w14:paraId="0BF1E54E" w14:textId="37A747AD">
            <w:r>
              <w:t>X</w:t>
            </w:r>
          </w:p>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C62D09" w14:paraId="24A26498" w14:textId="27757A3C">
            <w:r>
              <w:t>X</w:t>
            </w:r>
          </w:p>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FD3007" w14:paraId="23DA1764" w14:textId="276C093A">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FD3007" w14:paraId="00C1337B" w14:textId="76AAB156">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FD3007" w14:paraId="643022FE" w14:textId="0D622416">
            <w:pPr>
              <w:keepNext/>
              <w:rPr>
                <w:rFonts w:ascii="Calibri" w:hAnsi="Calibri" w:cs="Calibri"/>
              </w:rPr>
            </w:pPr>
            <w:r>
              <w:rPr>
                <w:rFonts w:ascii="Calibri" w:hAnsi="Calibri" w:cs="Calibri"/>
              </w:rPr>
              <w:t>X</w:t>
            </w: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FD3007" w14:paraId="6BFA045B" w14:textId="090F0C94">
            <w:pPr>
              <w:keepNext/>
              <w:rPr>
                <w:rFonts w:ascii="Calibri" w:hAnsi="Calibri" w:cs="Calibri"/>
              </w:rPr>
            </w:pPr>
            <w:r>
              <w:rPr>
                <w:rFonts w:ascii="Calibri" w:hAnsi="Calibri" w:cs="Calibri"/>
              </w:rPr>
              <w:t>X</w:t>
            </w: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FD3007" w14:paraId="511E94E2" w14:textId="2162402A">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FD3007" w14:paraId="41CFE03C" w14:textId="51446027">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FD3007" w14:paraId="5164AC81" w14:textId="47298A4A">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FD3007" w14:paraId="1135D553" w14:textId="1FAB15B9">
            <w:pPr>
              <w:keepNext/>
              <w:rPr>
                <w:rFonts w:ascii="Calibri" w:hAnsi="Calibri" w:cs="Calibri"/>
              </w:rPr>
            </w:pPr>
            <w:r>
              <w:rPr>
                <w:rFonts w:ascii="Calibri" w:hAnsi="Calibri" w:cs="Calibri"/>
              </w:rPr>
              <w:t>X</w:t>
            </w: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FD3007" w14:paraId="3970D0E0" w14:textId="016D0FB6">
            <w:pPr>
              <w:keepNext/>
              <w:rPr>
                <w:rFonts w:ascii="Calibri" w:hAnsi="Calibri" w:cs="Calibri"/>
              </w:rPr>
            </w:pPr>
            <w:r>
              <w:rPr>
                <w:rFonts w:ascii="Calibri" w:hAnsi="Calibri" w:cs="Calibri"/>
              </w:rPr>
              <w:t>X</w:t>
            </w: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FD3007" w14:paraId="3C133059" w14:textId="500060C1">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FD3007" w14:paraId="4CF5ABCA" w14:textId="398CA953">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FD3007" w14:paraId="751F0476" w14:textId="6448B8F4">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FD3007" w14:paraId="52CD3EF6" w14:textId="54EC66BE">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FD3007" w14:paraId="7F80146E" w14:textId="0C2E7BC4">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D301F8" w14:paraId="799C1AA4" w14:textId="6CEA061D">
            <w:pPr>
              <w:rPr>
                <w:rFonts w:ascii="Calibri" w:hAnsi="Calibri" w:cs="Calibri"/>
              </w:rPr>
            </w:pPr>
            <w:r w:rsidRPr="00D301F8">
              <w:rPr>
                <w:rFonts w:ascii="Calibri" w:hAnsi="Calibri" w:cs="Calibri"/>
              </w:rPr>
              <w:t>The law allows for any independent standard that meets the criteria of recognition, comprehensiveness, independence, reliability, and transparency</w:t>
            </w: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A76CA8" w14:paraId="4AB147DC" w14:textId="5CCF8752">
            <w:pPr>
              <w:keepNext/>
              <w:rPr>
                <w:rFonts w:ascii="Calibri" w:hAnsi="Calibri" w:cs="Calibri"/>
              </w:rPr>
            </w:pPr>
            <w:r w:rsidRPr="00A76CA8">
              <w:rPr>
                <w:rFonts w:ascii="Calibri" w:hAnsi="Calibri" w:cs="Calibri"/>
              </w:rPr>
              <w:t>The BIC regime is voluntary, but once adopted, compliance with disclosure and reporting obligations is mandatory. The law is designed to promote transparency, accountability, and continuous improvement in social and environmental performance among Colombian companies.</w:t>
            </w: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B587F" w:rsidP="00874E39" w:rsidRDefault="006B587F" w14:paraId="7A6C0FCD" w14:textId="77777777">
      <w:r>
        <w:separator/>
      </w:r>
    </w:p>
  </w:endnote>
  <w:endnote w:type="continuationSeparator" w:id="0">
    <w:p w:rsidR="006B587F" w:rsidP="00874E39" w:rsidRDefault="006B587F" w14:paraId="0C43C002" w14:textId="77777777">
      <w:r>
        <w:continuationSeparator/>
      </w:r>
    </w:p>
  </w:endnote>
  <w:endnote w:type="continuationNotice" w:id="1">
    <w:p w:rsidR="006B587F" w:rsidRDefault="006B587F" w14:paraId="422CC32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B587F" w:rsidP="00874E39" w:rsidRDefault="006B587F" w14:paraId="4C50E69C" w14:textId="77777777">
      <w:r>
        <w:separator/>
      </w:r>
    </w:p>
  </w:footnote>
  <w:footnote w:type="continuationSeparator" w:id="0">
    <w:p w:rsidR="006B587F" w:rsidP="00874E39" w:rsidRDefault="006B587F" w14:paraId="187A0CC8" w14:textId="77777777">
      <w:r>
        <w:continuationSeparator/>
      </w:r>
    </w:p>
  </w:footnote>
  <w:footnote w:type="continuationNotice" w:id="1">
    <w:p w:rsidR="006B587F" w:rsidRDefault="006B587F" w14:paraId="158A94DF"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D4C"/>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3BD"/>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D4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4FFE"/>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290"/>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7C5"/>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87F"/>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A0E"/>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4E8"/>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6CA8"/>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2D4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4B6"/>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78F"/>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2D09"/>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28E4"/>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1F8"/>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48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007"/>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funcionpublica.gov.co/eva/gestornormativo/norma.php?i=86982"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A2A5262-572D-489A-8AC4-69A4F031B3BF}"/>
</file>

<file path=customXml/itemProps2.xml><?xml version="1.0" encoding="utf-8"?>
<ds:datastoreItem xmlns:ds="http://schemas.openxmlformats.org/officeDocument/2006/customXml" ds:itemID="{4069F57E-C26D-4345-94C7-A19C005185CB}"/>
</file>

<file path=customXml/itemProps3.xml><?xml version="1.0" encoding="utf-8"?>
<ds:datastoreItem xmlns:ds="http://schemas.openxmlformats.org/officeDocument/2006/customXml" ds:itemID="{396A6708-FE9B-41CE-8BA3-28B5E171FF03}"/>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